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697" w:rsidRPr="00D23697" w:rsidRDefault="00D23697" w:rsidP="00D23697">
      <w:pPr>
        <w:spacing w:before="100" w:beforeAutospacing="1" w:after="100" w:afterAutospacing="1" w:line="240" w:lineRule="auto"/>
        <w:jc w:val="center"/>
        <w:rPr>
          <w:rFonts w:ascii="Arial" w:eastAsia="Times New Roman" w:hAnsi="Arial" w:cs="Arial"/>
          <w:color w:val="660000"/>
          <w:sz w:val="24"/>
          <w:szCs w:val="24"/>
          <w:lang w:eastAsia="it-IT"/>
        </w:rPr>
      </w:pPr>
      <w:r w:rsidRPr="00D23697">
        <w:rPr>
          <w:rFonts w:ascii="Arial" w:eastAsia="Times New Roman" w:hAnsi="Arial" w:cs="Arial"/>
          <w:color w:val="660000"/>
          <w:sz w:val="24"/>
          <w:szCs w:val="24"/>
          <w:lang w:eastAsia="it-IT"/>
        </w:rPr>
        <w:t>Ministero dell’Istruzione, dell’Università e della Ricerca</w:t>
      </w:r>
    </w:p>
    <w:p w:rsidR="00D23697" w:rsidRPr="00D23697" w:rsidRDefault="00D23697" w:rsidP="00D23697">
      <w:pPr>
        <w:spacing w:before="100" w:beforeAutospacing="1" w:after="100" w:afterAutospacing="1" w:line="240" w:lineRule="auto"/>
        <w:jc w:val="center"/>
        <w:rPr>
          <w:rFonts w:ascii="Arial" w:eastAsia="Times New Roman" w:hAnsi="Arial" w:cs="Arial"/>
          <w:color w:val="660000"/>
          <w:sz w:val="24"/>
          <w:szCs w:val="24"/>
          <w:lang w:eastAsia="it-IT"/>
        </w:rPr>
      </w:pPr>
      <w:r w:rsidRPr="00D23697">
        <w:rPr>
          <w:rFonts w:ascii="Arial" w:eastAsia="Times New Roman" w:hAnsi="Arial" w:cs="Arial"/>
          <w:color w:val="660000"/>
          <w:sz w:val="24"/>
          <w:szCs w:val="24"/>
          <w:lang w:eastAsia="it-IT"/>
        </w:rPr>
        <w:t>Dipartimento per l’Istruzione</w:t>
      </w:r>
    </w:p>
    <w:p w:rsidR="00D23697" w:rsidRPr="00D23697" w:rsidRDefault="00D23697" w:rsidP="00D23697">
      <w:pPr>
        <w:spacing w:before="100" w:beforeAutospacing="1" w:after="100" w:afterAutospacing="1" w:line="240" w:lineRule="auto"/>
        <w:jc w:val="center"/>
        <w:rPr>
          <w:rFonts w:ascii="Arial" w:eastAsia="Times New Roman" w:hAnsi="Arial" w:cs="Arial"/>
          <w:color w:val="660000"/>
          <w:sz w:val="24"/>
          <w:szCs w:val="24"/>
          <w:lang w:eastAsia="it-IT"/>
        </w:rPr>
      </w:pPr>
      <w:r w:rsidRPr="00D23697">
        <w:rPr>
          <w:rFonts w:ascii="Arial" w:eastAsia="Times New Roman" w:hAnsi="Arial" w:cs="Arial"/>
          <w:color w:val="660000"/>
          <w:sz w:val="24"/>
          <w:szCs w:val="24"/>
          <w:lang w:eastAsia="it-IT"/>
        </w:rPr>
        <w:t>Direzione Generale per il personale scolastico</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xml:space="preserve">                                            </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w:t>
      </w:r>
    </w:p>
    <w:p w:rsidR="00D23697" w:rsidRPr="00D23697" w:rsidRDefault="00D23697" w:rsidP="00D23697">
      <w:pPr>
        <w:spacing w:before="100" w:beforeAutospacing="1" w:after="100" w:afterAutospacing="1" w:line="240" w:lineRule="auto"/>
        <w:jc w:val="right"/>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Ai Direttori Generali</w:t>
      </w:r>
    </w:p>
    <w:p w:rsidR="00D23697" w:rsidRPr="00D23697" w:rsidRDefault="00D23697" w:rsidP="00D23697">
      <w:pPr>
        <w:spacing w:before="100" w:beforeAutospacing="1" w:after="100" w:afterAutospacing="1" w:line="240" w:lineRule="auto"/>
        <w:jc w:val="right"/>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degli Uffici Scolastici Regionali</w:t>
      </w:r>
    </w:p>
    <w:p w:rsidR="00D23697" w:rsidRPr="00D23697" w:rsidRDefault="00D23697" w:rsidP="00D23697">
      <w:pPr>
        <w:spacing w:before="100" w:beforeAutospacing="1" w:after="100" w:afterAutospacing="1" w:line="240" w:lineRule="auto"/>
        <w:jc w:val="right"/>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Loro Sedi -</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w:t>
      </w:r>
    </w:p>
    <w:p w:rsidR="00D23697" w:rsidRPr="00D23697" w:rsidRDefault="00D23697" w:rsidP="00D23697">
      <w:pPr>
        <w:spacing w:before="100" w:beforeAutospacing="1" w:after="100" w:afterAutospacing="1" w:line="240" w:lineRule="auto"/>
        <w:jc w:val="right"/>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Ai Dirigenti</w:t>
      </w:r>
    </w:p>
    <w:p w:rsidR="00D23697" w:rsidRPr="00D23697" w:rsidRDefault="00D23697" w:rsidP="00D23697">
      <w:pPr>
        <w:spacing w:before="100" w:beforeAutospacing="1" w:after="100" w:afterAutospacing="1" w:line="240" w:lineRule="auto"/>
        <w:jc w:val="right"/>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degli Uffici di ambito provinciale</w:t>
      </w:r>
    </w:p>
    <w:p w:rsidR="00D23697" w:rsidRPr="00D23697" w:rsidRDefault="00D23697" w:rsidP="00D23697">
      <w:pPr>
        <w:spacing w:before="100" w:beforeAutospacing="1" w:after="100" w:afterAutospacing="1" w:line="240" w:lineRule="auto"/>
        <w:jc w:val="right"/>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xml:space="preserve"> Loro Sedi-</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OGGETTO: D.M. 74 del 10 agosto 2012– Chiarimenti. </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xml:space="preserve">A seguito di segnalazioni pervenute per le vie brevi da parte di taluni Uffici scolastici regionali  in merito all’ articolo 2 comma .4 del DM 74 del 10 Agosto 2012 , si precisa che le operazioni di assunzione a tempo indeterminato devono essere disposte </w:t>
      </w:r>
      <w:proofErr w:type="spellStart"/>
      <w:r w:rsidRPr="00D23697">
        <w:rPr>
          <w:rFonts w:ascii="Arial" w:eastAsia="Times New Roman" w:hAnsi="Arial" w:cs="Arial"/>
          <w:color w:val="660000"/>
          <w:sz w:val="24"/>
          <w:szCs w:val="24"/>
          <w:lang w:eastAsia="it-IT"/>
        </w:rPr>
        <w:t>sull</w:t>
      </w:r>
      <w:proofErr w:type="spellEnd"/>
      <w:r w:rsidRPr="00D23697">
        <w:rPr>
          <w:rFonts w:ascii="Arial" w:eastAsia="Times New Roman" w:hAnsi="Arial" w:cs="Arial"/>
          <w:color w:val="660000"/>
          <w:sz w:val="24"/>
          <w:szCs w:val="24"/>
          <w:lang w:eastAsia="it-IT"/>
        </w:rPr>
        <w:t xml:space="preserve"> ‘intero contingente assegnato  per l anno scolastico 2012 /13 e che conseguentemente rimangono accantonati sul contingente dell’ anno scolastico 2010 /11 i posti che verranno attribuiti a seguito della definizione dei contenziosi concernenti i docenti inseriti “ a pettine “nelle graduatorie ad esaurimento.</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Resta inteso che ciascun ufficio provvederà a verificare la  effettiva disponibilità dei posti in organico di diritto tenendo conto dei sopra citati accantonamenti .Nel caso in cui la disponibilità risulti inferiore al contingente assegnato le eventuali assunzioni non effettuate verranno recuperate ai sensi dell’ articolo 2 comma 5 ( ad esempio disponibilità 10 ,contingente 6 ,accantonamenti 5 ,si effettuano 5 nomine sul nuovo contingente ,ma la sesta nomina non si perde e si recupera nel limite del contingente provinciale )</w:t>
      </w:r>
      <w:r>
        <w:rPr>
          <w:rFonts w:ascii="Arial" w:eastAsia="Times New Roman" w:hAnsi="Arial" w:cs="Arial"/>
          <w:color w:val="660000"/>
          <w:sz w:val="24"/>
          <w:szCs w:val="24"/>
          <w:lang w:eastAsia="it-IT"/>
        </w:rPr>
        <w:t>.</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xml:space="preserve"> Si ringrazia per la collaborazione </w:t>
      </w:r>
    </w:p>
    <w:p w:rsidR="00D23697" w:rsidRDefault="00D23697" w:rsidP="00D23697">
      <w:pPr>
        <w:spacing w:before="100" w:beforeAutospacing="1" w:after="100" w:afterAutospacing="1" w:line="240" w:lineRule="auto"/>
        <w:rPr>
          <w:rFonts w:ascii="Arial" w:eastAsia="Times New Roman" w:hAnsi="Arial" w:cs="Arial"/>
          <w:color w:val="660000"/>
          <w:sz w:val="24"/>
          <w:szCs w:val="24"/>
          <w:lang w:eastAsia="it-IT"/>
        </w:rPr>
      </w:pPr>
      <w:r w:rsidRPr="00D23697">
        <w:rPr>
          <w:rFonts w:ascii="Arial" w:eastAsia="Times New Roman" w:hAnsi="Arial" w:cs="Arial"/>
          <w:color w:val="660000"/>
          <w:sz w:val="24"/>
          <w:szCs w:val="24"/>
          <w:lang w:eastAsia="it-IT"/>
        </w:rPr>
        <w:t> per IL DIRETTORE GENERALE</w:t>
      </w:r>
    </w:p>
    <w:p w:rsidR="00D23697" w:rsidRPr="00D23697" w:rsidRDefault="00D23697" w:rsidP="00D23697">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D23697">
        <w:rPr>
          <w:rFonts w:ascii="Arial" w:eastAsia="Times New Roman" w:hAnsi="Arial" w:cs="Arial"/>
          <w:color w:val="660000"/>
          <w:sz w:val="24"/>
          <w:szCs w:val="24"/>
          <w:lang w:eastAsia="it-IT"/>
        </w:rPr>
        <w:t xml:space="preserve">Luciano </w:t>
      </w:r>
      <w:proofErr w:type="spellStart"/>
      <w:r w:rsidRPr="00D23697">
        <w:rPr>
          <w:rFonts w:ascii="Arial" w:eastAsia="Times New Roman" w:hAnsi="Arial" w:cs="Arial"/>
          <w:color w:val="660000"/>
          <w:sz w:val="24"/>
          <w:szCs w:val="24"/>
          <w:lang w:eastAsia="it-IT"/>
        </w:rPr>
        <w:t>Chiappetta</w:t>
      </w:r>
      <w:proofErr w:type="spellEnd"/>
      <w:r>
        <w:rPr>
          <w:rFonts w:ascii="Arial" w:eastAsia="Times New Roman" w:hAnsi="Arial" w:cs="Arial"/>
          <w:color w:val="660000"/>
          <w:sz w:val="24"/>
          <w:szCs w:val="24"/>
          <w:lang w:eastAsia="it-IT"/>
        </w:rPr>
        <w:t xml:space="preserve"> </w:t>
      </w:r>
      <w:r w:rsidRPr="00D23697">
        <w:rPr>
          <w:rFonts w:ascii="Arial" w:eastAsia="Times New Roman" w:hAnsi="Arial" w:cs="Arial"/>
          <w:color w:val="660000"/>
          <w:sz w:val="24"/>
          <w:szCs w:val="24"/>
          <w:lang w:eastAsia="it-IT"/>
        </w:rPr>
        <w:t>f.to IL DIRIGENTE</w:t>
      </w:r>
      <w:r w:rsidRPr="00D23697">
        <w:rPr>
          <w:rFonts w:ascii="Arial" w:eastAsia="Times New Roman" w:hAnsi="Arial" w:cs="Arial"/>
          <w:i/>
          <w:iCs/>
          <w:color w:val="660000"/>
          <w:sz w:val="24"/>
          <w:szCs w:val="24"/>
          <w:lang w:eastAsia="it-IT"/>
        </w:rPr>
        <w:t xml:space="preserve"> M. A. Palermo</w:t>
      </w:r>
    </w:p>
    <w:p w:rsidR="007071EB" w:rsidRPr="00D23697" w:rsidRDefault="007071EB">
      <w:pPr>
        <w:rPr>
          <w:sz w:val="24"/>
          <w:szCs w:val="24"/>
        </w:rPr>
      </w:pPr>
    </w:p>
    <w:sectPr w:rsidR="007071EB" w:rsidRPr="00D23697"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3697"/>
    <w:rsid w:val="005C5BB3"/>
    <w:rsid w:val="007071EB"/>
    <w:rsid w:val="00D236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632918">
      <w:bodyDiv w:val="1"/>
      <w:marLeft w:val="0"/>
      <w:marRight w:val="0"/>
      <w:marTop w:val="0"/>
      <w:marBottom w:val="0"/>
      <w:divBdr>
        <w:top w:val="none" w:sz="0" w:space="0" w:color="auto"/>
        <w:left w:val="none" w:sz="0" w:space="0" w:color="auto"/>
        <w:bottom w:val="none" w:sz="0" w:space="0" w:color="auto"/>
        <w:right w:val="none" w:sz="0" w:space="0" w:color="auto"/>
      </w:divBdr>
      <w:divsChild>
        <w:div w:id="75609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2012-08-21T09:12:00Z</dcterms:created>
  <dcterms:modified xsi:type="dcterms:W3CDTF">2012-08-21T09:15:00Z</dcterms:modified>
</cp:coreProperties>
</file>